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20" w:lineRule="exact"/>
        <w:ind w:left="260"/>
        <w:rPr>
          <w:rFonts w:ascii="仿宋" w:hAnsi="仿宋" w:eastAsia="仿宋"/>
          <w:sz w:val="28"/>
        </w:rPr>
      </w:pPr>
      <w:r>
        <w:rPr>
          <w:rFonts w:hint="eastAsia" w:ascii="仿宋" w:hAnsi="仿宋" w:eastAsia="仿宋"/>
          <w:sz w:val="28"/>
        </w:rPr>
        <w:t>附件：</w:t>
      </w:r>
    </w:p>
    <w:p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sz w:val="36"/>
          <w:szCs w:val="36"/>
        </w:rPr>
        <w:t>二级教学单位相关人员基本信息统计表</w:t>
      </w:r>
    </w:p>
    <w:p>
      <w:pPr>
        <w:spacing w:after="156" w:afterLines="50" w:line="560" w:lineRule="exact"/>
        <w:ind w:firstLine="560" w:firstLineChars="200"/>
        <w:jc w:val="left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单位：</w:t>
      </w:r>
    </w:p>
    <w:tbl>
      <w:tblPr>
        <w:tblStyle w:val="4"/>
        <w:tblW w:w="1403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276"/>
        <w:gridCol w:w="993"/>
        <w:gridCol w:w="1842"/>
        <w:gridCol w:w="2126"/>
        <w:gridCol w:w="2127"/>
        <w:gridCol w:w="1984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1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人员类别</w:t>
            </w:r>
          </w:p>
        </w:tc>
        <w:tc>
          <w:tcPr>
            <w:tcW w:w="1276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姓名</w:t>
            </w:r>
          </w:p>
        </w:tc>
        <w:tc>
          <w:tcPr>
            <w:tcW w:w="993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性别</w:t>
            </w:r>
          </w:p>
        </w:tc>
        <w:tc>
          <w:tcPr>
            <w:tcW w:w="1842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职务</w:t>
            </w:r>
          </w:p>
        </w:tc>
        <w:tc>
          <w:tcPr>
            <w:tcW w:w="2126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办公地点</w:t>
            </w:r>
          </w:p>
        </w:tc>
        <w:tc>
          <w:tcPr>
            <w:tcW w:w="2127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所在校区</w:t>
            </w: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办公电话</w:t>
            </w:r>
          </w:p>
        </w:tc>
        <w:tc>
          <w:tcPr>
            <w:tcW w:w="1985" w:type="dxa"/>
          </w:tcPr>
          <w:p>
            <w:pPr>
              <w:spacing w:line="560" w:lineRule="exact"/>
              <w:jc w:val="center"/>
              <w:rPr>
                <w:rFonts w:hint="eastAsia"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1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联络员</w:t>
            </w:r>
          </w:p>
        </w:tc>
        <w:tc>
          <w:tcPr>
            <w:tcW w:w="1276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5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1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主要负责人</w:t>
            </w:r>
          </w:p>
        </w:tc>
        <w:tc>
          <w:tcPr>
            <w:tcW w:w="1276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5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1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5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教学负责人</w:t>
            </w:r>
          </w:p>
        </w:tc>
        <w:tc>
          <w:tcPr>
            <w:tcW w:w="1276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985" w:type="dxa"/>
          </w:tcPr>
          <w:p>
            <w:pPr>
              <w:spacing w:line="560" w:lineRule="exact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</w:tbl>
    <w:p>
      <w:pPr>
        <w:spacing w:line="480" w:lineRule="exact"/>
        <w:ind w:firstLine="240" w:firstLineChars="100"/>
        <w:jc w:val="left"/>
        <w:rPr>
          <w:rFonts w:asciiTheme="minorEastAsia" w:hAnsiTheme="minorEastAsia" w:cstheme="minorEastAsia"/>
          <w:sz w:val="24"/>
        </w:rPr>
      </w:pPr>
      <w:r>
        <w:rPr>
          <w:rFonts w:hint="eastAsia" w:asciiTheme="minorEastAsia" w:hAnsiTheme="minorEastAsia" w:cstheme="minorEastAsia"/>
          <w:sz w:val="24"/>
        </w:rPr>
        <w:t>注：1.联络员为各单位评估联络工作总负责人，接收涉及本单位的所有评估指令。</w:t>
      </w:r>
      <w:r>
        <w:rPr>
          <w:rFonts w:asciiTheme="minorEastAsia" w:hAnsiTheme="minorEastAsia" w:cstheme="minorEastAsia"/>
          <w:sz w:val="24"/>
        </w:rPr>
        <w:t xml:space="preserve"> </w:t>
      </w:r>
    </w:p>
    <w:p>
      <w:pPr>
        <w:spacing w:line="480" w:lineRule="exact"/>
        <w:ind w:firstLine="720" w:firstLineChars="300"/>
        <w:jc w:val="left"/>
        <w:rPr>
          <w:rFonts w:hint="eastAsia" w:asciiTheme="minorEastAsia" w:hAnsiTheme="minorEastAsia" w:cstheme="minorEastAsia"/>
          <w:sz w:val="24"/>
        </w:rPr>
      </w:pPr>
      <w:r>
        <w:rPr>
          <w:rFonts w:hint="eastAsia" w:asciiTheme="minorEastAsia" w:hAnsiTheme="minorEastAsia" w:cstheme="minorEastAsia"/>
          <w:sz w:val="24"/>
        </w:rPr>
        <w:t>2.为确保评估指令通畅和流程顺利，联络员原则上要求是单位主要负责人或班子成员，联络员一旦确定，不得变动。</w:t>
      </w:r>
    </w:p>
    <w:p>
      <w:pPr>
        <w:spacing w:line="480" w:lineRule="exact"/>
        <w:ind w:firstLine="720" w:firstLineChars="300"/>
        <w:rPr>
          <w:rFonts w:asciiTheme="minorEastAsia" w:hAnsiTheme="minorEastAsia" w:cstheme="minorEastAsia"/>
          <w:sz w:val="24"/>
        </w:rPr>
      </w:pPr>
      <w:r>
        <w:rPr>
          <w:rFonts w:hint="eastAsia" w:asciiTheme="minorEastAsia" w:hAnsiTheme="minorEastAsia" w:cstheme="minorEastAsia"/>
          <w:sz w:val="24"/>
        </w:rPr>
        <w:t>3.熟知审核评估工作的各项内容、环节和流程，准确掌握各二级教学单位情况和评估工作开展情况。</w:t>
      </w:r>
      <w:r>
        <w:rPr>
          <w:rFonts w:asciiTheme="minorEastAsia" w:hAnsiTheme="minorEastAsia" w:cstheme="minorEastAsia"/>
          <w:sz w:val="24"/>
        </w:rPr>
        <w:t xml:space="preserve"> </w:t>
      </w:r>
    </w:p>
    <w:p>
      <w:pPr>
        <w:spacing w:line="480" w:lineRule="exact"/>
        <w:ind w:firstLine="720" w:firstLineChars="300"/>
        <w:rPr>
          <w:rFonts w:asciiTheme="minorEastAsia" w:hAnsiTheme="minorEastAsia" w:cstheme="minorEastAsia"/>
          <w:sz w:val="24"/>
        </w:rPr>
      </w:pPr>
      <w:r>
        <w:rPr>
          <w:rFonts w:hint="eastAsia" w:asciiTheme="minorEastAsia" w:hAnsiTheme="minorEastAsia" w:cstheme="minorEastAsia"/>
          <w:sz w:val="24"/>
        </w:rPr>
        <w:t>4.评估期间保持手机24小时畅通。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A67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小满&amp;兜兜</cp:lastModifiedBy>
  <dcterms:modified xsi:type="dcterms:W3CDTF">2018-05-25T03:00:15Z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